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ptos Display" w:hAnsi="Aptos Display"/>
          <w:b/>
          <w:color w:val="16382B"/>
          <w:sz w:val="38"/>
        </w:rPr>
        <w:t>30 / 60 / 90 DAY PLAN</w:t>
      </w:r>
    </w:p>
    <w:p>
      <w:r>
        <w:t>Editable plan for a new employee. Page 1 is blank; following pages contain a fictional worked example.</w:t>
      </w:r>
    </w:p>
    <w:p>
      <w:pPr>
        <w:pStyle w:val="Heading1"/>
      </w:pPr>
      <w:r>
        <w:t>Blank plan</w:t>
      </w:r>
    </w:p>
    <w:p>
      <w:r>
        <w:t>Employee: [name]  |  Role: [role]  |  Manager: [name]  |  Start date: [date]</w:t>
      </w:r>
    </w:p>
    <w:p>
      <w:r>
        <w:t>Primary responsibilities: [the actual work this person will learn]. Approval boundaries: [what requires a manager].</w:t>
      </w:r>
    </w:p>
    <w:p>
      <w:pPr>
        <w:pStyle w:val="Heading2"/>
      </w:pPr>
      <w:r>
        <w:t>Milestones with observable evidence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1440"/>
            <w:shd w:fill="16382B"/>
          </w:tcPr>
          <w:p>
            <w:r>
              <w:rPr>
                <w:b/>
                <w:color w:val="FFFFFF"/>
                <w:sz w:val="17"/>
              </w:rPr>
              <w:t>Checkpoint</w:t>
            </w:r>
          </w:p>
        </w:tc>
        <w:tc>
          <w:tcPr>
            <w:tcW w:type="dxa" w:w="4032"/>
            <w:shd w:fill="16382B"/>
          </w:tcPr>
          <w:p>
            <w:r>
              <w:rPr>
                <w:b/>
                <w:color w:val="FFFFFF"/>
                <w:sz w:val="17"/>
              </w:rPr>
              <w:t>What the employee can demonstrate</w:t>
            </w:r>
          </w:p>
        </w:tc>
        <w:tc>
          <w:tcPr>
            <w:tcW w:type="dxa" w:w="4176"/>
            <w:shd w:fill="16382B"/>
          </w:tcPr>
          <w:p>
            <w:r>
              <w:rPr>
                <w:b/>
                <w:color w:val="FFFFFF"/>
                <w:sz w:val="17"/>
              </w:rPr>
              <w:t>Evidence / owner / check date</w:t>
            </w:r>
          </w:p>
        </w:tc>
      </w:tr>
      <w:tr>
        <w:tc>
          <w:tcPr>
            <w:tcW w:type="dxa" w:w="1440"/>
            <w:vAlign w:val="center"/>
          </w:tcPr>
          <w:p>
            <w:r>
              <w:rPr>
                <w:sz w:val="17"/>
              </w:rPr>
              <w:t>Day 30</w:t>
            </w:r>
          </w:p>
        </w:tc>
        <w:tc>
          <w:tcPr>
            <w:tcW w:type="dxa" w:w="4032"/>
            <w:vAlign w:val="center"/>
          </w:tcPr>
          <w:p>
            <w:r>
              <w:rPr>
                <w:sz w:val="17"/>
              </w:rPr>
              <w:t>[Task 1 with actual definition of done]</w:t>
            </w:r>
          </w:p>
        </w:tc>
        <w:tc>
          <w:tcPr>
            <w:tcW w:type="dxa" w:w="4176"/>
            <w:vAlign w:val="center"/>
          </w:tcPr>
          <w:p>
            <w:r>
              <w:rPr>
                <w:sz w:val="17"/>
              </w:rPr>
              <w:t>[Sample records or observation / owner / date]</w:t>
            </w:r>
          </w:p>
        </w:tc>
      </w:tr>
      <w:tr>
        <w:tc>
          <w:tcPr>
            <w:tcW w:type="dxa" w:w="1440"/>
            <w:vAlign w:val="center"/>
          </w:tcPr>
          <w:p>
            <w:r>
              <w:rPr>
                <w:sz w:val="17"/>
              </w:rPr>
              <w:t>Day 60</w:t>
            </w:r>
          </w:p>
        </w:tc>
        <w:tc>
          <w:tcPr>
            <w:tcW w:type="dxa" w:w="4032"/>
            <w:vAlign w:val="center"/>
          </w:tcPr>
          <w:p>
            <w:r>
              <w:rPr>
                <w:sz w:val="17"/>
              </w:rPr>
              <w:t>[Independent routine work + exception rule]</w:t>
            </w:r>
          </w:p>
        </w:tc>
        <w:tc>
          <w:tcPr>
            <w:tcW w:type="dxa" w:w="4176"/>
            <w:vAlign w:val="center"/>
          </w:tcPr>
          <w:p>
            <w:r>
              <w:rPr>
                <w:sz w:val="17"/>
              </w:rPr>
              <w:t>[Quality check / owner / date]</w:t>
            </w:r>
          </w:p>
        </w:tc>
      </w:tr>
      <w:tr>
        <w:tc>
          <w:tcPr>
            <w:tcW w:type="dxa" w:w="1440"/>
            <w:vAlign w:val="center"/>
          </w:tcPr>
          <w:p>
            <w:r>
              <w:rPr>
                <w:sz w:val="17"/>
              </w:rPr>
              <w:t>Day 90</w:t>
            </w:r>
          </w:p>
        </w:tc>
        <w:tc>
          <w:tcPr>
            <w:tcW w:type="dxa" w:w="4032"/>
            <w:vAlign w:val="center"/>
          </w:tcPr>
          <w:p>
            <w:r>
              <w:rPr>
                <w:sz w:val="17"/>
              </w:rPr>
              <w:t>[Sustained contribution with review limits]</w:t>
            </w:r>
          </w:p>
        </w:tc>
        <w:tc>
          <w:tcPr>
            <w:tcW w:type="dxa" w:w="4176"/>
            <w:vAlign w:val="center"/>
          </w:tcPr>
          <w:p>
            <w:r>
              <w:rPr>
                <w:sz w:val="17"/>
              </w:rPr>
              <w:t>[Actual work review / owner / date]</w:t>
            </w:r>
          </w:p>
        </w:tc>
      </w:tr>
    </w:tbl>
    <w:p>
      <w:pPr>
        <w:pStyle w:val="Heading2"/>
      </w:pPr>
      <w:r>
        <w:t>Required support and development</w:t>
      </w:r>
    </w:p>
    <w:p>
      <w:pPr>
        <w:pStyle w:val="ListBullet"/>
      </w:pPr>
      <w:r>
        <w:t>Tools and permissions to prepare: [ ]</w:t>
      </w:r>
    </w:p>
    <w:p>
      <w:pPr>
        <w:pStyle w:val="ListBullet"/>
      </w:pPr>
      <w:r>
        <w:t>Trainer or buddy and protected overlap: [ ]</w:t>
      </w:r>
    </w:p>
    <w:p>
      <w:pPr>
        <w:pStyle w:val="ListBullet"/>
      </w:pPr>
      <w:r>
        <w:t>Practice case and non-routine exception to test: [ ]</w:t>
      </w:r>
    </w:p>
    <w:p>
      <w:pPr>
        <w:pStyle w:val="ListBullet"/>
      </w:pPr>
      <w:r>
        <w:t>Feedback/check-in dates: [day 7, day 30, day 60, day 90 on actual shifts]</w:t>
      </w:r>
    </w:p>
    <w:p>
      <w:pPr>
        <w:pStyle w:val="ListBullet"/>
      </w:pPr>
      <w:r>
        <w:t>Workplace safety or role-specific credentialing required: [verify]</w:t>
      </w:r>
    </w:p>
    <w:p>
      <w:pPr>
        <w:pStyle w:val="ListBullet"/>
      </w:pPr>
      <w:r>
        <w:t>Unresolved concerns and decision owner: [ ]</w:t>
      </w:r>
    </w:p>
    <w:p>
      <w:r>
        <w:t>Use the company onboarding checklist for hiring setup and legal deadlines. This plan concerns job learning and development; it does not replace HR compliance records.</w:t>
      </w:r>
    </w:p>
    <w:p>
      <w:r>
        <w:br w:type="page"/>
      </w:r>
    </w:p>
    <w:p>
      <w:r>
        <w:rPr>
          <w:rFonts w:ascii="Aptos Display" w:hAnsi="Aptos Display"/>
          <w:b/>
          <w:color w:val="16382B"/>
          <w:sz w:val="38"/>
        </w:rPr>
        <w:t>FILLED EXAMPLE</w:t>
      </w:r>
    </w:p>
    <w:p>
      <w:r>
        <w:t>Fictional customer service coordinator at a small appliance-repair business. Adapt the milestones to your own job.</w:t>
      </w:r>
    </w:p>
    <w:p>
      <w:r>
        <w:t>Employee: Taylor (fictional)  |  Manager: Naomi (owner)  |  Start: Monday, Nov 2, 2026</w:t>
      </w:r>
    </w:p>
    <w:p>
      <w:r>
        <w:t>Role: confirm appointments, record technician availability, update customers within approved rules, and escalate unsafe or nonstandard cases.</w:t>
      </w:r>
    </w:p>
    <w:p>
      <w:pPr>
        <w:pStyle w:val="Heading2"/>
      </w:pPr>
      <w:r>
        <w:t>Role-specific milestones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1584"/>
            <w:shd w:fill="16382B"/>
          </w:tcPr>
          <w:p>
            <w:r>
              <w:rPr>
                <w:b/>
                <w:color w:val="FFFFFF"/>
                <w:sz w:val="17"/>
              </w:rPr>
              <w:t>When</w:t>
            </w:r>
          </w:p>
        </w:tc>
        <w:tc>
          <w:tcPr>
            <w:tcW w:type="dxa" w:w="4032"/>
            <w:shd w:fill="16382B"/>
          </w:tcPr>
          <w:p>
            <w:r>
              <w:rPr>
                <w:b/>
                <w:color w:val="FFFFFF"/>
                <w:sz w:val="17"/>
              </w:rPr>
              <w:t>Observable outcome</w:t>
            </w:r>
          </w:p>
        </w:tc>
        <w:tc>
          <w:tcPr>
            <w:tcW w:type="dxa" w:w="4032"/>
            <w:shd w:fill="16382B"/>
          </w:tcPr>
          <w:p>
            <w:r>
              <w:rPr>
                <w:b/>
                <w:color w:val="FFFFFF"/>
                <w:sz w:val="17"/>
              </w:rPr>
              <w:t>How manager checks</w:t>
            </w:r>
          </w:p>
        </w:tc>
      </w:tr>
      <w:tr>
        <w:tc>
          <w:tcPr>
            <w:tcW w:type="dxa" w:w="1584"/>
            <w:vAlign w:val="center"/>
          </w:tcPr>
          <w:p>
            <w:r>
              <w:rPr>
                <w:sz w:val="17"/>
              </w:rPr>
              <w:t>By day 30</w:t>
            </w:r>
          </w:p>
        </w:tc>
        <w:tc>
          <w:tcPr>
            <w:tcW w:type="dxa" w:w="4032"/>
            <w:vAlign w:val="center"/>
          </w:tcPr>
          <w:p>
            <w:r>
              <w:rPr>
                <w:sz w:val="17"/>
              </w:rPr>
              <w:t>Explains booking rules; enters four test bookings with a buddy; identifies a request outside the approved service window.</w:t>
            </w:r>
          </w:p>
        </w:tc>
        <w:tc>
          <w:tcPr>
            <w:tcW w:type="dxa" w:w="4032"/>
            <w:vAlign w:val="center"/>
          </w:tcPr>
          <w:p>
            <w:r>
              <w:rPr>
                <w:sz w:val="17"/>
              </w:rPr>
              <w:t>Naomi compares four sample records with the correct crew and confirmed times. Any exception errors become practice tasks.</w:t>
            </w:r>
          </w:p>
        </w:tc>
      </w:tr>
      <w:tr>
        <w:tc>
          <w:tcPr>
            <w:tcW w:type="dxa" w:w="1584"/>
            <w:vAlign w:val="center"/>
          </w:tcPr>
          <w:p>
            <w:r>
              <w:rPr>
                <w:sz w:val="17"/>
              </w:rPr>
              <w:t>By day 60</w:t>
            </w:r>
          </w:p>
        </w:tc>
        <w:tc>
          <w:tcPr>
            <w:tcW w:type="dxa" w:w="4032"/>
            <w:vAlign w:val="center"/>
          </w:tcPr>
          <w:p>
            <w:r>
              <w:rPr>
                <w:sz w:val="17"/>
              </w:rPr>
              <w:t>Processes routine booking changes without prompting within approved slots; explains when a scope or price change needs owner approval.</w:t>
            </w:r>
          </w:p>
        </w:tc>
        <w:tc>
          <w:tcPr>
            <w:tcW w:type="dxa" w:w="4032"/>
            <w:vAlign w:val="center"/>
          </w:tcPr>
          <w:p>
            <w:r>
              <w:rPr>
                <w:sz w:val="17"/>
              </w:rPr>
              <w:t>Supervisor checks five real routine records and observes one out-of-policy scenario in a safe practice environment.</w:t>
            </w:r>
          </w:p>
        </w:tc>
      </w:tr>
      <w:tr>
        <w:tc>
          <w:tcPr>
            <w:tcW w:type="dxa" w:w="1584"/>
            <w:vAlign w:val="center"/>
          </w:tcPr>
          <w:p>
            <w:r>
              <w:rPr>
                <w:sz w:val="17"/>
              </w:rPr>
              <w:t>By day 90</w:t>
            </w:r>
          </w:p>
        </w:tc>
        <w:tc>
          <w:tcPr>
            <w:tcW w:type="dxa" w:w="4032"/>
            <w:vAlign w:val="center"/>
          </w:tcPr>
          <w:p>
            <w:r>
              <w:rPr>
                <w:sz w:val="17"/>
              </w:rPr>
              <w:t>Maintains accurate commitments across normal shifts; records handoffs before leaving; escalates customer exceptions on time.</w:t>
            </w:r>
          </w:p>
        </w:tc>
        <w:tc>
          <w:tcPr>
            <w:tcW w:type="dxa" w:w="4032"/>
            <w:vAlign w:val="center"/>
          </w:tcPr>
          <w:p>
            <w:r>
              <w:rPr>
                <w:sz w:val="17"/>
              </w:rPr>
              <w:t>Manager samples recent records including a pending transfer and holds a review with Taylor.</w:t>
            </w:r>
          </w:p>
        </w:tc>
      </w:tr>
    </w:tbl>
    <w:p>
      <w:pPr>
        <w:pStyle w:val="Heading2"/>
      </w:pPr>
      <w:r>
        <w:t>Support and review cadence</w:t>
      </w:r>
    </w:p>
    <w:p>
      <w:pPr>
        <w:pStyle w:val="ListBullet"/>
      </w:pPr>
      <w:r>
        <w:t>Week 1: buddy Morgan demonstrates two bookings and an unavailable-slot exception.</w:t>
      </w:r>
    </w:p>
    <w:p>
      <w:pPr>
        <w:pStyle w:val="ListBullet"/>
      </w:pPr>
      <w:r>
        <w:t>Week 2: supervised ordinary bookings; access errors and confusing rules documented.</w:t>
      </w:r>
    </w:p>
    <w:p>
      <w:pPr>
        <w:pStyle w:val="ListBullet"/>
      </w:pPr>
      <w:r>
        <w:t>Day 30 check: acknowledge strengths and select one specific exception to practice.</w:t>
      </w:r>
    </w:p>
    <w:p>
      <w:pPr>
        <w:pStyle w:val="ListBullet"/>
      </w:pPr>
      <w:r>
        <w:t>Day 60 check: review actual records; expand authority only after verified results.</w:t>
      </w:r>
    </w:p>
    <w:p>
      <w:pPr>
        <w:pStyle w:val="ListBullet"/>
      </w:pPr>
      <w:r>
        <w:t>Day 90 check: agree on future development goals; do not treat the plan as an automatic employment-law or probation decision.</w:t>
      </w:r>
    </w:p>
    <w:p>
      <w:pPr>
        <w:pStyle w:val="Heading2"/>
      </w:pPr>
      <w:r>
        <w:t>What remains unresolved?</w:t>
      </w:r>
    </w:p>
    <w:p>
      <w:r>
        <w:t>If Taylor offers an unavailable slot as confirmed, Naomi pauses independent work on that exception and schedules a retest. The milestone stays pending until the work can be demonstrated accurately. This is an example, not a claim that testing occurred.</w:t>
      </w:r>
    </w:p>
    <w:p>
      <w:r>
        <w:t>No customer personal data, SSNs, or private employee assessments belong in the public template. Store completed personnel records in an authorized system.</w:t>
      </w:r>
    </w:p>
    <w:sectPr w:rsidR="00FC693F" w:rsidRPr="0006063C" w:rsidSect="00034616">
      <w:pgSz w:w="12240" w:h="15840"/>
      <w:pgMar w:top="1080" w:right="1181" w:bottom="1080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F5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F5A4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